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
        <w:spacing w:lineRule="auto" w:line="288" w:before="0" w:after="0"/>
        <w:jc w:val="both"/>
        <w:rPr>
          <w:rFonts w:ascii="Verdana" w:hAnsi="Verdana" w:cs="ACaslonPro-Semibold"/>
          <w:b/>
          <w:sz w:val="24"/>
          <w:szCs w:val="24"/>
        </w:rPr>
      </w:pPr>
      <w:r>
        <w:drawing>
          <wp:anchor behindDoc="1" distT="0" distB="0" distL="0" distR="0" simplePos="0" locked="0" layoutInCell="1" allowOverlap="1" relativeHeight="2">
            <wp:simplePos x="0" y="0"/>
            <wp:positionH relativeFrom="column">
              <wp:posOffset>4962525</wp:posOffset>
            </wp:positionH>
            <wp:positionV relativeFrom="paragraph">
              <wp:posOffset>-427990</wp:posOffset>
            </wp:positionV>
            <wp:extent cx="1090295" cy="1099185"/>
            <wp:effectExtent l="0" t="0" r="0" b="0"/>
            <wp:wrapNone/>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1090295" cy="1099185"/>
                    </a:xfrm>
                    <a:prstGeom prst="rect">
                      <a:avLst/>
                    </a:prstGeom>
                    <a:noFill/>
                  </pic:spPr>
                </pic:pic>
              </a:graphicData>
            </a:graphic>
          </wp:anchor>
        </w:drawing>
      </w:r>
      <w:r>
        <w:rPr>
          <w:rFonts w:cs="ACaslonPro-Semibold" w:ascii="Verdana" w:hAnsi="Verdana"/>
          <w:b/>
          <w:sz w:val="24"/>
          <w:szCs w:val="24"/>
        </w:rPr>
        <w:t>Datenschutzerklärung</w:t>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Verantwortlicher</w:t>
      </w:r>
    </w:p>
    <w:p>
      <w:pPr>
        <w:pStyle w:val="Standa"/>
        <w:spacing w:lineRule="auto" w:line="288" w:before="0" w:after="0"/>
        <w:jc w:val="both"/>
        <w:rPr>
          <w:rFonts w:ascii="Verdana" w:hAnsi="Verdana" w:cs="ACaslonPro-Semibold"/>
          <w:bCs/>
        </w:rPr>
      </w:pPr>
      <w:r>
        <w:rPr>
          <w:rFonts w:cs="ACaslonPro-Semibold" w:ascii="Verdana" w:hAnsi="Verdana"/>
          <w:bCs/>
        </w:rPr>
        <w:t>Verantwortlich für die Verarbeitung personenbezogener Daten ist:</w:t>
      </w:r>
    </w:p>
    <w:p>
      <w:pPr>
        <w:pStyle w:val="Standa"/>
        <w:spacing w:lineRule="auto" w:line="288" w:before="0" w:after="0"/>
        <w:jc w:val="both"/>
        <w:rPr>
          <w:rFonts w:ascii="Verdana" w:hAnsi="Verdana" w:cs="ACaslonPro-Semibold"/>
          <w:bCs/>
        </w:rPr>
      </w:pPr>
      <w:r>
        <w:rPr>
          <w:rFonts w:cs="ACaslonPro-Semibold" w:ascii="Verdana" w:hAnsi="Verdana"/>
          <w:bCs/>
        </w:rPr>
        <w:t>Gesellschaft für Live-Rollenspiel e.V. mit dem Sitz in Wetter</w:t>
      </w:r>
    </w:p>
    <w:p>
      <w:pPr>
        <w:pStyle w:val="Standa"/>
        <w:spacing w:lineRule="auto" w:line="288" w:before="0" w:after="0"/>
        <w:jc w:val="both"/>
        <w:rPr>
          <w:rFonts w:ascii="Verdana" w:hAnsi="Verdana" w:cs="ACaslonPro-Semibold"/>
          <w:bCs/>
        </w:rPr>
      </w:pPr>
      <w:r>
        <w:rPr>
          <w:rFonts w:cs="ACaslonPro-Semibold" w:ascii="Verdana" w:hAnsi="Verdana"/>
          <w:bCs/>
        </w:rPr>
        <w:t>Eingetragen im Vereinsregister des Amtsgericht Hagen unter VR 2721</w:t>
      </w:r>
    </w:p>
    <w:p>
      <w:pPr>
        <w:pStyle w:val="Standa"/>
        <w:spacing w:lineRule="auto" w:line="288" w:before="0" w:after="0"/>
        <w:jc w:val="both"/>
        <w:rPr>
          <w:rFonts w:ascii="Verdana" w:hAnsi="Verdana" w:cs="ACaslonPro-Semibold"/>
          <w:bCs/>
        </w:rPr>
      </w:pPr>
      <w:r>
        <w:rPr>
          <w:rFonts w:cs="ACaslonPro-Semibold" w:ascii="Verdana" w:hAnsi="Verdana"/>
          <w:bCs/>
        </w:rPr>
        <w:t>Vereinsanschrift: 55234 Nack, Am Wingertsberg 1</w:t>
      </w:r>
    </w:p>
    <w:p>
      <w:pPr>
        <w:pStyle w:val="Normal"/>
        <w:rPr>
          <w:rFonts w:ascii="Verdana" w:hAnsi="Verdana" w:eastAsia="Calibri" w:cs="ACaslonPro-Semibold"/>
          <w:bCs/>
          <w:kern w:val="0"/>
          <w:sz w:val="22"/>
          <w:szCs w:val="22"/>
          <w14:ligatures w14:val="none"/>
        </w:rPr>
      </w:pPr>
      <w:r>
        <w:rPr>
          <w:rFonts w:eastAsia="Calibri" w:cs="ACaslonPro-Semibold" w:ascii="Verdana" w:hAnsi="Verdana"/>
          <w:bCs/>
          <w:kern w:val="0"/>
          <w:sz w:val="22"/>
          <w:szCs w:val="22"/>
          <w14:ligatures w14:val="none"/>
        </w:rPr>
        <w:t>info@gflr.de</w:t>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Zwecke der Datenverarbeitung</w:t>
      </w:r>
    </w:p>
    <w:p>
      <w:pPr>
        <w:pStyle w:val="Standa"/>
        <w:spacing w:lineRule="auto" w:line="288" w:before="0" w:after="0"/>
        <w:jc w:val="both"/>
        <w:rPr>
          <w:rFonts w:ascii="Verdana" w:hAnsi="Verdana" w:cs="ACaslonPro-Semibold"/>
          <w:bCs/>
        </w:rPr>
      </w:pPr>
      <w:r>
        <w:rPr>
          <w:rFonts w:cs="ACaslonPro-Semibold" w:ascii="Verdana" w:hAnsi="Verdana"/>
          <w:bCs/>
        </w:rPr>
        <w:t>Die Bereitstellung und Verarbeitung personenbezogener Daten ist erforderlich für den Vertragsabschluss und die Teilnahme an der Veranstaltung.</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Personenbezogene Daten werden ausschließlich zu folgenden Zwecken verarbeitet:</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Organisation, Durchführung und Nachbereitung von Live-Rollenspiel-Veranstaltungen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Verwaltung von Anmeldungen und Teilnehmerlisten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Kommunikation mit Teilnehmern (z. B. Orga-Infos, Spielrelevantes)</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Abrechnung und Zahlungsabwicklung</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Erfüllung gesetzlicher Aufbewahrungspflichten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Gewährleistung der Sicherheit während der Veranstaltung</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Archivierung zur Dokumentation vergangener Veranstaltungen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Gewährleistung von Nachweis- und Rechenschaftszwecken der GfLR</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Verarbeitete Datenarten</w:t>
      </w:r>
    </w:p>
    <w:p>
      <w:pPr>
        <w:pStyle w:val="Standa"/>
        <w:spacing w:lineRule="auto" w:line="288" w:before="0" w:after="0"/>
        <w:jc w:val="both"/>
        <w:rPr>
          <w:rFonts w:ascii="Verdana" w:hAnsi="Verdana" w:cs="ACaslonPro-Semibold"/>
          <w:bCs/>
        </w:rPr>
      </w:pPr>
      <w:r>
        <w:rPr>
          <w:rFonts w:cs="ACaslonPro-Semibold" w:ascii="Verdana" w:hAnsi="Verdana"/>
          <w:bCs/>
        </w:rPr>
        <w:t>Es werden insbesondere folgende personenbezogene Daten verarbeitet:</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Stammdaten: Name, Anschrift, Geburtsdatum</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Kontaktdaten: E-Mail-Adresse, Telefonnummer</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Veranstaltungsbezogene Daten: Charaktername, Charakterklasse, Rollenart (SC/NSC), gruppenbezogene Angaben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Zahlungsdaten (z. B. Zahlungseingang, Zahlungsart)</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IP-Adresse bei Nutzung von Online-Anmeldeformularen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Gesundheitsdaten (z. B. Allergien, Einschränkungen) werden ausschließlich freiwillig angegeben und nur zur Gewährleistung der Sicherheit während der Veranstaltung genutzt.</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Rechtsgrundlagen der Verarbeitung</w:t>
      </w:r>
    </w:p>
    <w:p>
      <w:pPr>
        <w:pStyle w:val="Standa"/>
        <w:spacing w:lineRule="auto" w:line="288" w:before="0" w:after="0"/>
        <w:jc w:val="both"/>
        <w:rPr>
          <w:rFonts w:ascii="Verdana" w:hAnsi="Verdana" w:cs="ACaslonPro-Semibold"/>
          <w:bCs/>
        </w:rPr>
      </w:pPr>
      <w:r>
        <w:rPr>
          <w:rFonts w:cs="ACaslonPro-Semibold" w:ascii="Verdana" w:hAnsi="Verdana"/>
          <w:bCs/>
        </w:rPr>
        <w:t>Die Verarbeitung personenbezogener Daten erfolgt auf Grundlage von: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Art. 5 DSGVO (Grundsätze der Verarbeitung)</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Art. 6 Abs. 1 lit. b DSGVO (Vertragserfüllung)</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Art. 6 Abs. 1 lit. c DSGVO (rechtliche Verpflichtungen)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Art. 6 Abs. 1 lit. f DSGVO (berechtigtes Interesse an Organisation und Sicherheit)</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Art. 9 Abs. 2 lit. a DSGVO (ausdrückliche Einwilligung bei Gesundheitsdaten)</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keepNext w:val="true"/>
        <w:numPr>
          <w:ilvl w:val="0"/>
          <w:numId w:val="1"/>
        </w:numPr>
        <w:spacing w:lineRule="auto" w:line="288" w:before="0" w:after="0"/>
        <w:ind w:hanging="357" w:left="357"/>
        <w:jc w:val="both"/>
        <w:rPr>
          <w:rFonts w:ascii="Verdana" w:hAnsi="Verdana" w:cs="ACaslonPro-Semibold"/>
          <w:b/>
          <w:sz w:val="24"/>
          <w:szCs w:val="24"/>
        </w:rPr>
      </w:pPr>
      <w:r>
        <w:rPr>
          <w:rFonts w:cs="ACaslonPro-Semibold" w:ascii="Verdana" w:hAnsi="Verdana"/>
          <w:b/>
          <w:sz w:val="24"/>
          <w:szCs w:val="24"/>
        </w:rPr>
        <w:t>Speicherung und Löschung</w:t>
      </w:r>
    </w:p>
    <w:p>
      <w:pPr>
        <w:pStyle w:val="Standa"/>
        <w:spacing w:lineRule="auto" w:line="288" w:before="0" w:after="0"/>
        <w:jc w:val="both"/>
        <w:rPr>
          <w:rFonts w:ascii="Verdana" w:hAnsi="Verdana" w:cs="ACaslonPro-Semibold"/>
          <w:bCs/>
        </w:rPr>
      </w:pPr>
      <w:r>
        <w:rPr>
          <w:rFonts w:cs="ACaslonPro-Semibold" w:ascii="Verdana" w:hAnsi="Verdana"/>
          <w:bCs/>
        </w:rPr>
        <w:t>Personenbezogene Daten werden nur so lange gespeichert, wie dies für die jeweiligen Zwecke erforderlich ist oder gesetzliche Aufbewahrungspflichten bestehen.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 xml:space="preserve">Vertrags- und Abrechnungsdaten: </w:t>
        <w:tab/>
        <w:br/>
        <w:t>gemäß gesetzlicher Aufbewahrungsfristen;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 xml:space="preserve">Veranstaltungsbezogene Daten: </w:t>
        <w:tab/>
        <w:br/>
        <w:t>in der Regel bis spätestens 12 Monate nach Veranstaltungsende, für Bild-, Ton- und Videoaufnahmen siehe unten;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 xml:space="preserve">Gesundheitsdaten: </w:t>
        <w:br/>
        <w:t>nur aufgrund freiwilliger Angaben (Art. 9 Abs. 2 lit. a DSGVO) oder zum Schutz lebenswichtiger Interessen (Art. 9 Abs. 2 lit. c DSGVO), in jedem Fall ausschließlich während der Veranstaltung, danach sofortige Löschung;</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Weitergabe von Daten</w:t>
      </w:r>
    </w:p>
    <w:p>
      <w:pPr>
        <w:pStyle w:val="Standa"/>
        <w:spacing w:lineRule="auto" w:line="288" w:before="0" w:after="0"/>
        <w:jc w:val="both"/>
        <w:rPr>
          <w:rFonts w:ascii="Verdana" w:hAnsi="Verdana" w:cs="ACaslonPro-Semibold"/>
          <w:bCs/>
        </w:rPr>
      </w:pPr>
      <w:r>
        <w:rPr>
          <w:rFonts w:cs="ACaslonPro-Semibold" w:ascii="Verdana" w:hAnsi="Verdana"/>
          <w:bCs/>
        </w:rPr>
        <w:t>Eine Weitergabe personenbezogener Daten an Dritte erfolgt nicht, es sei denn: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sie ist zur Vertragsabwicklung erforderlich (z. B. Zahlungsdienstleister),</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es besteht eine gesetzliche Verpflichtung,</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oder der Teilnehmer hat ausdrücklich eingewilligt.</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Sofern externe Dienstleister (Fotografen, IT-Dienstleister, etc.) eingesetzt werden, erfolgt dies auf Grundlage von Auftragsverarbeitungsverträgen gemäß Art. 28 DSGVO.</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Es wird (gemäß Art. 13 Abs. 1 lit. f DSGVO) darauf hingewiesen, dass durch die Nutzung von Online-Anmeldungen sowie durch etwaige Veröffentlichungen von Aufnahmen auf Social Media Plattformen ein Datentransfer in Drittländer erfolgt.</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Bild-, Ton- und Videoaufnahmen</w:t>
      </w:r>
    </w:p>
    <w:p>
      <w:pPr>
        <w:pStyle w:val="Standa"/>
        <w:spacing w:lineRule="auto" w:line="288" w:before="0" w:after="0"/>
        <w:jc w:val="both"/>
        <w:rPr>
          <w:rFonts w:ascii="Verdana" w:hAnsi="Verdana" w:cs="ACaslonPro-Semibold"/>
          <w:bCs/>
        </w:rPr>
      </w:pPr>
      <w:r>
        <w:rPr>
          <w:rFonts w:cs="ACaslonPro-Semibold" w:ascii="Verdana" w:hAnsi="Verdana"/>
          <w:bCs/>
        </w:rPr>
        <w:t>Im</w:t>
      </w:r>
      <w:r>
        <w:rPr>
          <w:rFonts w:eastAsia="Times New Roman" w:ascii="Verdana" w:hAnsi="Verdana"/>
          <w:lang w:eastAsia="de-DE"/>
        </w:rPr>
        <w:t xml:space="preserve"> </w:t>
      </w:r>
      <w:r>
        <w:rPr>
          <w:rFonts w:cs="ACaslonPro-Semibold" w:ascii="Verdana" w:hAnsi="Verdana"/>
          <w:bCs/>
        </w:rPr>
        <w:t>Rahmen der Veranstaltung können Bild-, Ton- und Videoaufnahmen angefertigt werden.</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 xml:space="preserve">Die Anfertigung von Aufnahmen zum Zweck der </w:t>
      </w:r>
      <w:r>
        <w:rPr>
          <w:rFonts w:cs="ACaslonPro-Semibold" w:ascii="Verdana" w:hAnsi="Verdana"/>
        </w:rPr>
        <w:t>Dokumentation der Veranstaltung</w:t>
      </w:r>
      <w:r>
        <w:rPr>
          <w:rFonts w:cs="ACaslonPro-Semibold" w:ascii="Verdana" w:hAnsi="Verdana"/>
          <w:bCs/>
        </w:rPr>
        <w:t xml:space="preserve"> erfolgt auf Grundlage von Art. 6 Abs. 1 lit. f DSGVO (berechtigtes Interesse).</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 xml:space="preserve">Eine </w:t>
      </w:r>
      <w:r>
        <w:rPr>
          <w:rFonts w:cs="ACaslonPro-Semibold" w:ascii="Verdana" w:hAnsi="Verdana"/>
        </w:rPr>
        <w:t>Veröffentlichung oder werbliche Nutzung</w:t>
      </w:r>
      <w:r>
        <w:rPr>
          <w:rFonts w:cs="ACaslonPro-Semibold" w:ascii="Verdana" w:hAnsi="Verdana"/>
          <w:bCs/>
        </w:rPr>
        <w:t xml:space="preserve"> der Aufnahmen (z. B. Website, Social Media, Printmedien) erfolgt </w:t>
      </w:r>
      <w:r>
        <w:rPr>
          <w:rFonts w:cs="ACaslonPro-Semibold" w:ascii="Verdana" w:hAnsi="Verdana"/>
        </w:rPr>
        <w:t>ausschließlich auf Grundlage einer vorherigen, freiwilligen Einwilligung</w:t>
      </w:r>
      <w:r>
        <w:rPr>
          <w:rFonts w:cs="ACaslonPro-Semibold" w:ascii="Verdana" w:hAnsi="Verdana"/>
          <w:bCs/>
        </w:rPr>
        <w:t xml:space="preserve"> gemäß Art. 6 Abs. 1 lit. a DSGVO und unter Beachtung der §§ 22, 23 KUG.</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Teilnehmer können der Anfertigung von Aufnahmen aus Gründen, die sich aus ihrer besonderen Situation ergeben, jederzeit widersprechen. Ein Widerruf erteilter Einwilligungen ist jederzeit mit Wirkung für die Zukunft möglich.</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keepNext w:val="true"/>
        <w:spacing w:lineRule="auto" w:line="288" w:before="0" w:after="0"/>
        <w:jc w:val="both"/>
        <w:rPr>
          <w:rFonts w:ascii="Verdana" w:hAnsi="Verdana" w:cs="ACaslonPro-Semibold"/>
          <w:bCs/>
        </w:rPr>
      </w:pPr>
      <w:r>
        <w:rPr>
          <w:rFonts w:cs="ACaslonPro-Semibold" w:ascii="Verdana" w:hAnsi="Verdana"/>
          <w:bCs/>
        </w:rPr>
        <w:t>Bild-, Ton- und Videoaufnahmen werden außerdem auch zur Dokumentation der Vereinstätigkeit der GfLR archiviert. Die Archivierung erfolgt zu folgenden Zwecken:</w:t>
      </w:r>
    </w:p>
    <w:p>
      <w:pPr>
        <w:pStyle w:val="Standa"/>
        <w:keepNext w:val="true"/>
        <w:numPr>
          <w:ilvl w:val="0"/>
          <w:numId w:val="2"/>
        </w:numPr>
        <w:spacing w:lineRule="auto" w:line="288" w:before="0" w:after="0"/>
        <w:jc w:val="both"/>
        <w:rPr>
          <w:rFonts w:ascii="Verdana" w:hAnsi="Verdana" w:cs="ACaslonPro-Semibold"/>
          <w:bCs/>
        </w:rPr>
      </w:pPr>
      <w:r>
        <w:rPr>
          <w:rFonts w:cs="ACaslonPro-Semibold" w:ascii="Verdana" w:hAnsi="Verdana"/>
          <w:bCs/>
        </w:rPr>
        <w:t>Dokumentation vergangener Veranstaltungen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Darstellung der Entwicklung und Tätigkeit der GfLR</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historische und chronologische Darstellung von Projekten und Ereignissen</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interne Nachweis- und Rechenschaftszwecke</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Die Speicherung erfolgt nur, solange und soweit der jeweilige Zweck fortbesteht. Die GfLR überprüft in regelmäßigen Abständen, erstmalig spätestens nach drei Jahren nach Beginn der Speicherung, ob die Archivierung noch erforderlich ist.</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 xml:space="preserve">Sofern die Verarbeitung auf einer Einwilligung beruht, kann diese jederzeit mit Wirkung für die Zukunft widerrufen werden. Im Falle eines Widerrufs werden die betroffenen Aufnahmen unverzüglich aus den vom Veranstalter kontrollierten Medien entfernt, soweit dem keine überwiegenden berechtigten Gründe entgegenstehen. </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Soweit die Verarbeitung auf einem berechtigten Interesse des Veranstalters beruht (Art. 6 Abs. 1 lit. f DSGVO), erfolgt eine Interessenabwägung unter Berücksichtigung der berechtigten Erwartungen der betroffenen Personen sowie der Art der Aufnahme (z. B. Gruppenaufnahme, Veranstaltungsübersicht, Porträtaufnahme).</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keepNext w:val="true"/>
        <w:numPr>
          <w:ilvl w:val="0"/>
          <w:numId w:val="1"/>
        </w:numPr>
        <w:spacing w:lineRule="auto" w:line="288" w:before="0" w:after="0"/>
        <w:ind w:hanging="357" w:left="357"/>
        <w:jc w:val="both"/>
        <w:rPr>
          <w:rFonts w:ascii="Verdana" w:hAnsi="Verdana" w:cs="ACaslonPro-Semibold"/>
          <w:b/>
          <w:sz w:val="24"/>
          <w:szCs w:val="24"/>
        </w:rPr>
      </w:pPr>
      <w:r>
        <w:rPr>
          <w:rFonts w:cs="ACaslonPro-Semibold" w:ascii="Verdana" w:hAnsi="Verdana"/>
          <w:b/>
          <w:sz w:val="24"/>
          <w:szCs w:val="24"/>
        </w:rPr>
        <w:t>Rechte der betroffenen Personen</w:t>
      </w:r>
    </w:p>
    <w:p>
      <w:pPr>
        <w:pStyle w:val="Standa"/>
        <w:keepNext w:val="true"/>
        <w:spacing w:lineRule="auto" w:line="288" w:before="0" w:after="0"/>
        <w:jc w:val="both"/>
        <w:rPr>
          <w:rFonts w:ascii="Verdana" w:hAnsi="Verdana" w:cs="ACaslonPro-Semibold"/>
          <w:bCs/>
        </w:rPr>
      </w:pPr>
      <w:r>
        <w:rPr>
          <w:rFonts w:cs="ACaslonPro-Semibold" w:ascii="Verdana" w:hAnsi="Verdana"/>
          <w:bCs/>
        </w:rPr>
        <w:t>Teilnehmer haben jederzeit das Recht auf:</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Auskunft über ihre gespeicherten Daten (Art. 15 DSGVO)</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Berichtigung unrichtiger Daten (Art. 16 DSGVO)</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Löschung (Art. 17 DSGVO)</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Einschränkung der Verarbeitung (Art. 18 DSGVO)</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Datenübertragbarkeit (Art. 20 DSGVO)</w:t>
      </w:r>
    </w:p>
    <w:p>
      <w:pPr>
        <w:pStyle w:val="Standa"/>
        <w:numPr>
          <w:ilvl w:val="0"/>
          <w:numId w:val="2"/>
        </w:numPr>
        <w:spacing w:lineRule="auto" w:line="288" w:before="0" w:after="0"/>
        <w:jc w:val="both"/>
        <w:rPr>
          <w:rFonts w:ascii="Verdana" w:hAnsi="Verdana" w:cs="ACaslonPro-Semibold"/>
          <w:bCs/>
        </w:rPr>
      </w:pPr>
      <w:r>
        <w:rPr>
          <w:rFonts w:cs="ACaslonPro-Semibold" w:ascii="Verdana" w:hAnsi="Verdana"/>
          <w:bCs/>
        </w:rPr>
        <w:t>Widerspruch gegen die Verarbeitung (Art. 21 DSGVO)</w:t>
      </w:r>
    </w:p>
    <w:p>
      <w:pPr>
        <w:pStyle w:val="Standa"/>
        <w:spacing w:lineRule="auto" w:line="288" w:before="0" w:after="0"/>
        <w:jc w:val="both"/>
        <w:rPr>
          <w:rFonts w:ascii="Verdana" w:hAnsi="Verdana" w:cs="ACaslonPro-Semibold"/>
          <w:bCs/>
        </w:rPr>
      </w:pPr>
      <w:r>
        <w:rPr>
          <w:rFonts w:cs="ACaslonPro-Semibold" w:ascii="Verdana" w:hAnsi="Verdana"/>
          <w:bCs/>
        </w:rPr>
        <w:t>Ein Widerruf erteilter Einwilligungen ist jederzeit mit Wirkung für die Zukunft möglich.</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Beschwerderecht</w:t>
      </w:r>
    </w:p>
    <w:p>
      <w:pPr>
        <w:pStyle w:val="Standa"/>
        <w:spacing w:lineRule="auto" w:line="288" w:before="0" w:after="0"/>
        <w:jc w:val="both"/>
        <w:rPr>
          <w:rFonts w:ascii="Verdana" w:hAnsi="Verdana" w:cs="ACaslonPro-Semibold"/>
          <w:bCs/>
        </w:rPr>
      </w:pPr>
      <w:r>
        <w:rPr>
          <w:rFonts w:cs="ACaslonPro-Semibold" w:ascii="Verdana" w:hAnsi="Verdana"/>
          <w:bCs/>
        </w:rPr>
        <w:t>Betroffene haben das Recht, sich bei einer Datenschutzaufsichtsbehörde zu beschweren, wenn sie der Ansicht sind, dass die Verarbeitung ihrer personenbezogenen Daten gegen die DSGVO verstößt.</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spacing w:lineRule="auto" w:line="288" w:before="0" w:after="0"/>
        <w:jc w:val="both"/>
        <w:rPr>
          <w:rFonts w:ascii="Verdana" w:hAnsi="Verdana" w:cs="ACaslonPro-Semibold"/>
          <w:bCs/>
        </w:rPr>
      </w:pPr>
      <w:r>
        <w:rPr>
          <w:rFonts w:cs="ACaslonPro-Semibold" w:ascii="Verdana" w:hAnsi="Verdana"/>
          <w:bCs/>
        </w:rPr>
        <w:t>Eine Liste der Datenschutzbeauftragten sowie deren Kontaktdaten können folgendem Link entnommen werden:</w:t>
      </w:r>
    </w:p>
    <w:p>
      <w:pPr>
        <w:pStyle w:val="Standa"/>
        <w:spacing w:lineRule="auto" w:line="288" w:before="0" w:after="0"/>
        <w:jc w:val="both"/>
        <w:rPr>
          <w:rFonts w:ascii="Verdana" w:hAnsi="Verdana" w:cs="ACaslonPro-Semibold"/>
          <w:bCs/>
        </w:rPr>
      </w:pPr>
      <w:r>
        <w:rPr>
          <w:rFonts w:cs="ACaslonPro-Semibold" w:ascii="Verdana" w:hAnsi="Verdana"/>
          <w:bCs/>
        </w:rPr>
        <w:t>https://www.bfdi.bund.de/DE/Service/Anschriften/anschriften_table.html</w:t>
      </w:r>
    </w:p>
    <w:p>
      <w:pPr>
        <w:pStyle w:val="Standa"/>
        <w:keepNext w:val="true"/>
        <w:numPr>
          <w:ilvl w:val="0"/>
          <w:numId w:val="1"/>
        </w:numPr>
        <w:spacing w:lineRule="auto" w:line="288" w:before="0" w:after="0"/>
        <w:ind w:hanging="357" w:left="357"/>
        <w:jc w:val="both"/>
        <w:rPr>
          <w:rFonts w:ascii="Verdana" w:hAnsi="Verdana" w:cs="ACaslonPro-Semibold"/>
          <w:b/>
          <w:sz w:val="24"/>
          <w:szCs w:val="24"/>
        </w:rPr>
      </w:pPr>
      <w:r>
        <w:rPr>
          <w:rFonts w:cs="ACaslonPro-Semibold" w:ascii="Verdana" w:hAnsi="Verdana"/>
          <w:b/>
          <w:sz w:val="24"/>
          <w:szCs w:val="24"/>
        </w:rPr>
        <w:t>Datensicherheit</w:t>
      </w:r>
    </w:p>
    <w:p>
      <w:pPr>
        <w:pStyle w:val="Standa"/>
        <w:spacing w:lineRule="auto" w:line="288" w:before="0" w:after="0"/>
        <w:jc w:val="both"/>
        <w:rPr>
          <w:rFonts w:ascii="Verdana" w:hAnsi="Verdana" w:cs="ACaslonPro-Semibold"/>
          <w:bCs/>
        </w:rPr>
      </w:pPr>
      <w:r>
        <w:rPr>
          <w:rFonts w:cs="ACaslonPro-Semibold" w:ascii="Verdana" w:hAnsi="Verdana"/>
          <w:bCs/>
        </w:rPr>
        <w:t>Der Veranstalter trifft angemessene technische und organisatorische Maßnahmen, um personenbezogene Daten vor Verlust, Missbrauch oder unbefugtem Zugriff zu schützen.</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Datenschutzbeauftragter</w:t>
      </w:r>
    </w:p>
    <w:p>
      <w:pPr>
        <w:pStyle w:val="Standa"/>
        <w:spacing w:lineRule="auto" w:line="288" w:before="0" w:after="0"/>
        <w:jc w:val="both"/>
        <w:rPr>
          <w:rFonts w:ascii="Verdana" w:hAnsi="Verdana" w:cs="ACaslonPro-Semibold"/>
        </w:rPr>
      </w:pPr>
      <w:r>
        <w:rPr>
          <w:rFonts w:cs="ACaslonPro-Semibold" w:ascii="Verdana" w:hAnsi="Verdana"/>
        </w:rPr>
        <w:t>Ein Datenschutzbeauftragter ist nicht bestellt, da keine gesetzliche Pflicht besteht.</w:t>
      </w:r>
    </w:p>
    <w:p>
      <w:pPr>
        <w:pStyle w:val="Standa"/>
        <w:spacing w:lineRule="auto" w:line="288" w:before="0" w:after="0"/>
        <w:jc w:val="both"/>
        <w:rPr>
          <w:rFonts w:ascii="Verdana" w:hAnsi="Verdana" w:cs="ACaslonPro-Semibold"/>
          <w:bCs/>
        </w:rPr>
      </w:pPr>
      <w:r>
        <w:rPr>
          <w:rFonts w:cs="ACaslonPro-Semibold" w:ascii="Verdana" w:hAnsi="Verdana"/>
          <w:bCs/>
        </w:rPr>
      </w:r>
    </w:p>
    <w:p>
      <w:pPr>
        <w:pStyle w:val="Standa"/>
        <w:numPr>
          <w:ilvl w:val="0"/>
          <w:numId w:val="1"/>
        </w:numPr>
        <w:spacing w:lineRule="auto" w:line="288" w:before="0" w:after="0"/>
        <w:jc w:val="both"/>
        <w:rPr>
          <w:rFonts w:ascii="Verdana" w:hAnsi="Verdana" w:cs="ACaslonPro-Semibold"/>
          <w:b/>
          <w:sz w:val="24"/>
          <w:szCs w:val="24"/>
        </w:rPr>
      </w:pPr>
      <w:r>
        <w:rPr>
          <w:rFonts w:cs="ACaslonPro-Semibold" w:ascii="Verdana" w:hAnsi="Verdana"/>
          <w:b/>
          <w:sz w:val="24"/>
          <w:szCs w:val="24"/>
        </w:rPr>
        <w:t>Änderungen</w:t>
      </w:r>
    </w:p>
    <w:p>
      <w:pPr>
        <w:pStyle w:val="Standa"/>
        <w:spacing w:lineRule="auto" w:line="288" w:before="0" w:after="0"/>
        <w:jc w:val="both"/>
        <w:rPr>
          <w:rFonts w:ascii="Verdana" w:hAnsi="Verdana" w:cs="ACaslonPro-Semibold"/>
          <w:bCs/>
        </w:rPr>
      </w:pPr>
      <w:r>
        <w:rPr>
          <w:rFonts w:cs="ACaslonPro-Semibold" w:ascii="Verdana" w:hAnsi="Verdana"/>
          <w:bCs/>
        </w:rPr>
        <w:t>Der Veranstalter behält sich vor, diese Datenschutzerklärung anzupassen, sofern dies aufgrund gesetzlicher oder organisatorischer Änderungen erforderlich ist.</w:t>
      </w:r>
    </w:p>
    <w:p>
      <w:pPr>
        <w:pStyle w:val="Standa"/>
        <w:spacing w:lineRule="auto" w:line="288" w:before="0" w:after="0"/>
        <w:jc w:val="both"/>
        <w:rPr>
          <w:rFonts w:ascii="Verdana" w:hAnsi="Verdana" w:cs="ACaslonPro-Semibold"/>
          <w:bCs/>
        </w:rPr>
      </w:pPr>
      <w:r>
        <w:rPr>
          <w:rFonts w:cs="ACaslonPro-Semibold" w:ascii="Verdana" w:hAnsi="Verdana"/>
          <w:bCs/>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 w:name="Verdana">
    <w:charset w:val="00"/>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e927e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e927e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e927e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e927e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e927e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e927e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e927e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e927e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e927e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e927e0"/>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e927e0"/>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e927e0"/>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e927e0"/>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e927e0"/>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e927e0"/>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e927e0"/>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e927e0"/>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e927e0"/>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e927e0"/>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e927e0"/>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e927e0"/>
    <w:rPr>
      <w:i/>
      <w:iCs/>
      <w:color w:themeColor="text1" w:themeTint="bf" w:val="404040"/>
    </w:rPr>
  </w:style>
  <w:style w:type="character" w:styleId="IntenseEmphasis">
    <w:name w:val="Intense Emphasis"/>
    <w:basedOn w:val="DefaultParagraphFont"/>
    <w:uiPriority w:val="21"/>
    <w:qFormat/>
    <w:rsid w:val="00e927e0"/>
    <w:rPr>
      <w:i/>
      <w:iCs/>
      <w:color w:themeColor="accent1" w:themeShade="bf" w:val="0F4761"/>
    </w:rPr>
  </w:style>
  <w:style w:type="character" w:styleId="IntensivesZitatZchn" w:customStyle="1">
    <w:name w:val="Intensives Zitat Zchn"/>
    <w:basedOn w:val="DefaultParagraphFont"/>
    <w:link w:val="IntenseQuote"/>
    <w:uiPriority w:val="30"/>
    <w:qFormat/>
    <w:rsid w:val="00e927e0"/>
    <w:rPr>
      <w:i/>
      <w:iCs/>
      <w:color w:themeColor="accent1" w:themeShade="bf" w:val="0F4761"/>
    </w:rPr>
  </w:style>
  <w:style w:type="character" w:styleId="IntenseReference">
    <w:name w:val="Intense Reference"/>
    <w:basedOn w:val="DefaultParagraphFont"/>
    <w:uiPriority w:val="32"/>
    <w:qFormat/>
    <w:rsid w:val="00e927e0"/>
    <w:rPr>
      <w:b/>
      <w:bCs/>
      <w:smallCaps/>
      <w:color w:themeColor="accent1" w:themeShade="bf" w:val="0F4761"/>
      <w:spacing w:val="5"/>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itle">
    <w:name w:val="Title"/>
    <w:basedOn w:val="Normal"/>
    <w:next w:val="Normal"/>
    <w:link w:val="TitelZchn"/>
    <w:uiPriority w:val="10"/>
    <w:qFormat/>
    <w:rsid w:val="00e927e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e927e0"/>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e927e0"/>
    <w:pPr>
      <w:spacing w:before="160" w:after="160"/>
      <w:jc w:val="center"/>
    </w:pPr>
    <w:rPr>
      <w:i/>
      <w:iCs/>
      <w:color w:themeColor="text1" w:themeTint="bf" w:val="404040"/>
    </w:rPr>
  </w:style>
  <w:style w:type="paragraph" w:styleId="ListParagraph">
    <w:name w:val="List Paragraph"/>
    <w:basedOn w:val="Normal"/>
    <w:uiPriority w:val="34"/>
    <w:qFormat/>
    <w:rsid w:val="00e927e0"/>
    <w:pPr>
      <w:spacing w:before="0" w:after="160"/>
      <w:ind w:left="720"/>
      <w:contextualSpacing/>
    </w:pPr>
    <w:rPr/>
  </w:style>
  <w:style w:type="paragraph" w:styleId="IntenseQuote">
    <w:name w:val="Intense Quote"/>
    <w:basedOn w:val="Normal"/>
    <w:next w:val="Normal"/>
    <w:link w:val="IntensivesZitatZchn"/>
    <w:uiPriority w:val="30"/>
    <w:qFormat/>
    <w:rsid w:val="00e927e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anda" w:customStyle="1">
    <w:name w:val="Standa"/>
    <w:uiPriority w:val="99"/>
    <w:qFormat/>
    <w:rsid w:val="00e927e0"/>
    <w:pPr>
      <w:widowControl/>
      <w:bidi w:val="0"/>
      <w:spacing w:lineRule="auto" w:line="276" w:before="0" w:after="200"/>
      <w:jc w:val="left"/>
    </w:pPr>
    <w:rPr>
      <w:rFonts w:ascii="Calibri" w:hAnsi="Calibri" w:eastAsia="Calibri" w:cs="Times New Roman"/>
      <w:color w:val="auto"/>
      <w:kern w:val="0"/>
      <w:sz w:val="22"/>
      <w:szCs w:val="22"/>
      <w:lang w:val="de-DE" w:eastAsia="en-US" w:bidi="ar-SA"/>
      <w14:ligatures w14:val="none"/>
    </w:rPr>
  </w:style>
  <w:style w:type="paragraph" w:styleId="NormalWeb">
    <w:name w:val="Normal (Web)"/>
    <w:basedOn w:val="Normal"/>
    <w:uiPriority w:val="99"/>
    <w:semiHidden/>
    <w:unhideWhenUsed/>
    <w:qFormat/>
    <w:rsid w:val="00517ed2"/>
    <w:pPr/>
    <w:rPr>
      <w:rFonts w:ascii="Times New Roman" w:hAnsi="Times New Roman" w:cs="Times New Roman"/>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LibreOffice/25.2.6.2$Windows_X86_64 LibreOffice_project/729c5bfe710f5eb71ed3bbde9e06a6065e9c6c5d</Application>
  <AppVersion>15.0000</AppVersion>
  <Pages>4</Pages>
  <Words>827</Words>
  <Characters>5808</Characters>
  <CharactersWithSpaces>6517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2026-02-07T18:30:00Z</dcterms:created>
  <dc:creator>Sommer, Benedikt (Stud SRH-University)</dc:creator>
  <dc:description/>
  <dc:language>de-DE</dc:language>
  <cp:lastModifiedBy/>
  <dcterms:modified xsi:type="dcterms:W3CDTF">2026-02-16T22:11:45Z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